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15603B">
        <w:rPr>
          <w:rFonts w:ascii="Times New Roman" w:hAnsi="Times New Roman" w:cs="Times New Roman"/>
        </w:rPr>
        <w:t>12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F86A1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F2E8F" w:rsidRPr="00D206AA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D206AA" w:rsidRDefault="0015603B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INFORMATIKE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C95B8C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>informatike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 xml:space="preserve">(12 sati ukupnog tjednog radnog vremena)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Pr="00D206AA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</w:t>
      </w:r>
      <w:r w:rsidRPr="00D206AA">
        <w:rPr>
          <w:rFonts w:ascii="Times New Roman" w:hAnsi="Times New Roman" w:cs="Times New Roman"/>
          <w:lang w:eastAsia="hr-HR"/>
        </w:rPr>
        <w:t>se pozivaju:</w:t>
      </w:r>
    </w:p>
    <w:p w:rsidR="008B0DAE" w:rsidRPr="00D206AA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D206AA" w:rsidRDefault="0015603B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D206AA">
        <w:rPr>
          <w:rFonts w:ascii="Times New Roman" w:hAnsi="Times New Roman" w:cs="Times New Roman"/>
          <w:lang w:eastAsia="hr-HR"/>
        </w:rPr>
        <w:t>Dino Glavaš</w:t>
      </w:r>
      <w:r w:rsidR="00F86A1F" w:rsidRPr="00D206AA">
        <w:rPr>
          <w:rFonts w:ascii="Times New Roman" w:hAnsi="Times New Roman" w:cs="Times New Roman"/>
          <w:lang w:eastAsia="hr-HR"/>
        </w:rPr>
        <w:t>,</w:t>
      </w:r>
    </w:p>
    <w:p w:rsidR="00175FEC" w:rsidRPr="00D206AA" w:rsidRDefault="0015603B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D206AA">
        <w:rPr>
          <w:rFonts w:ascii="Times New Roman" w:hAnsi="Times New Roman" w:cs="Times New Roman"/>
          <w:lang w:eastAsia="hr-HR"/>
        </w:rPr>
        <w:t>Anja Horvatinović</w:t>
      </w:r>
    </w:p>
    <w:p w:rsidR="0015603B" w:rsidRPr="0015603B" w:rsidRDefault="0015603B" w:rsidP="0015603B">
      <w:pPr>
        <w:pStyle w:val="Bezproreda"/>
        <w:ind w:left="720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čitelja/</w:t>
      </w:r>
      <w:proofErr w:type="spellStart"/>
      <w:r w:rsidR="00F222BA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>informatike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D206AA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Pr="00F222BA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87/08., 86/09., 92/10., 105/10., 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3. Pravilnik o načinima, postupcima i elementima vrednovanja učenika u osnovnoj i srednjoj školi (NN 120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,43./20.,100.21.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2E8F" w:rsidRPr="00D1762B" w:rsidRDefault="00D206AA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Default="00B812B6" w:rsidP="00F86A1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br/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D206AA" w:rsidRPr="00D206AA" w:rsidRDefault="00D206AA" w:rsidP="00F86A1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bookmarkStart w:id="0" w:name="_GoBack"/>
      <w:bookmarkEnd w:id="0"/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03B"/>
    <w:rsid w:val="00156E42"/>
    <w:rsid w:val="00175FEC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678C7"/>
    <w:rsid w:val="00C95B8C"/>
    <w:rsid w:val="00CB59EC"/>
    <w:rsid w:val="00CC2F7E"/>
    <w:rsid w:val="00D1692E"/>
    <w:rsid w:val="00D1762B"/>
    <w:rsid w:val="00D206AA"/>
    <w:rsid w:val="00D45581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2021-10-21T09:00:00Z</cp:lastPrinted>
  <dcterms:created xsi:type="dcterms:W3CDTF">2019-05-10T11:15:00Z</dcterms:created>
  <dcterms:modified xsi:type="dcterms:W3CDTF">2021-10-21T09:01:00Z</dcterms:modified>
</cp:coreProperties>
</file>